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kern w:val="0"/>
          <w:sz w:val="44"/>
          <w:szCs w:val="44"/>
        </w:rPr>
        <w:t>中共</w:t>
      </w:r>
      <w:r>
        <w:rPr>
          <w:rFonts w:eastAsia="方正小标宋_GBK"/>
          <w:kern w:val="0"/>
          <w:sz w:val="44"/>
          <w:szCs w:val="44"/>
        </w:rPr>
        <w:t>大厂回族自治县委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政法委员会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Times New Roman"/>
          <w:spacing w:val="-11"/>
          <w:sz w:val="44"/>
          <w:szCs w:val="44"/>
          <w:lang w:val="en-US" w:eastAsia="zh-CN"/>
        </w:rPr>
        <w:t>1-12</w:t>
      </w:r>
      <w:bookmarkStart w:id="0" w:name="_GoBack"/>
      <w:bookmarkEnd w:id="0"/>
      <w:r>
        <w:rPr>
          <w:rFonts w:hint="eastAsia" w:eastAsia="方正小标宋_GBK" w:cs="Times New Roman"/>
          <w:spacing w:val="-11"/>
          <w:sz w:val="44"/>
          <w:szCs w:val="44"/>
          <w:lang w:val="en-US" w:eastAsia="zh-CN"/>
        </w:rPr>
        <w:t>月份</w:t>
      </w:r>
      <w:r>
        <w:rPr>
          <w:rFonts w:hint="eastAsia" w:ascii="Times New Roman" w:hAnsi="Times New Roman" w:eastAsia="方正小标宋_GBK" w:cs="Times New Roman"/>
          <w:spacing w:val="-11"/>
          <w:sz w:val="44"/>
          <w:szCs w:val="44"/>
        </w:rPr>
        <w:t>预算绩效运行</w:t>
      </w:r>
      <w:r>
        <w:rPr>
          <w:rFonts w:ascii="Times New Roman" w:hAnsi="Times New Roman" w:eastAsia="方正小标宋_GBK" w:cs="Times New Roman"/>
          <w:spacing w:val="-11"/>
          <w:sz w:val="44"/>
          <w:szCs w:val="44"/>
        </w:rPr>
        <w:t>监控报告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一、绩效自评工作</w:t>
      </w:r>
      <w:r>
        <w:rPr>
          <w:rFonts w:hint="eastAsia" w:eastAsia="黑体"/>
          <w:sz w:val="32"/>
          <w:szCs w:val="32"/>
          <w:lang w:val="en-US" w:eastAsia="zh-CN"/>
        </w:rPr>
        <w:t>组织</w:t>
      </w:r>
      <w:r>
        <w:rPr>
          <w:rFonts w:eastAsia="黑体"/>
          <w:sz w:val="32"/>
          <w:szCs w:val="32"/>
        </w:rPr>
        <w:t>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（一）前期准备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我单位成立了绩效自评工作小组，组长由主管财务的副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书记韩雪松</w:t>
      </w:r>
      <w:r>
        <w:rPr>
          <w:rFonts w:hint="eastAsia" w:ascii="仿宋_GB2312" w:eastAsia="仿宋_GB2312"/>
          <w:sz w:val="32"/>
          <w:szCs w:val="32"/>
        </w:rPr>
        <w:t>担任，副组长为办公室主任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孟强兵</w:t>
      </w:r>
      <w:r>
        <w:rPr>
          <w:rFonts w:hint="eastAsia" w:ascii="仿宋_GB2312" w:eastAsia="仿宋_GB2312"/>
          <w:sz w:val="32"/>
          <w:szCs w:val="32"/>
        </w:rPr>
        <w:t>，组员为会计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</w:t>
      </w:r>
      <w:r>
        <w:rPr>
          <w:rFonts w:hint="eastAsia" w:ascii="仿宋_GB2312" w:eastAsia="仿宋_GB2312"/>
          <w:sz w:val="32"/>
          <w:szCs w:val="32"/>
        </w:rPr>
        <w:t>红艳。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自评工作经过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班子会授权后进行，自评结果上报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班子会研究讨论。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步由财务人员再次审查项目的相应收支情况，核对账目和决算数据。第二步对需要进行满意度测评的项目，印制了满意度调查表，并发放给服务对象。第三步收取调查表进行统计，将统计结果上报领导小组组长，并逐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eastAsia="仿宋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val="en-US" w:eastAsia="zh-CN"/>
        </w:rPr>
        <w:t>三</w:t>
      </w:r>
      <w:r>
        <w:rPr>
          <w:rFonts w:eastAsia="楷体_GB2312"/>
          <w:b/>
          <w:sz w:val="32"/>
          <w:szCs w:val="32"/>
        </w:rPr>
        <w:t>）总体情况。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eastAsia="仿宋"/>
          <w:sz w:val="32"/>
          <w:szCs w:val="32"/>
        </w:rPr>
        <w:t>部门年度预算安排专项项目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eastAsia="仿宋"/>
          <w:sz w:val="32"/>
          <w:szCs w:val="32"/>
        </w:rPr>
        <w:t>个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资金总量为</w:t>
      </w:r>
      <w:r>
        <w:rPr>
          <w:rFonts w:hint="eastAsia" w:eastAsia="仿宋"/>
          <w:sz w:val="32"/>
          <w:szCs w:val="32"/>
          <w:lang w:val="en-US" w:eastAsia="zh-CN"/>
        </w:rPr>
        <w:t>2371.53</w:t>
      </w:r>
      <w:r>
        <w:rPr>
          <w:rFonts w:hint="eastAsia" w:eastAsia="仿宋"/>
          <w:sz w:val="32"/>
          <w:szCs w:val="32"/>
        </w:rPr>
        <w:t>万元，无中央转移支付资金和省级预算安排资金。部门年度目标设定按照</w:t>
      </w:r>
      <w:r>
        <w:rPr>
          <w:rFonts w:hint="eastAsia" w:eastAsia="仿宋"/>
          <w:sz w:val="32"/>
          <w:szCs w:val="32"/>
          <w:lang w:val="en-US" w:eastAsia="zh-CN"/>
        </w:rPr>
        <w:t>政法委</w:t>
      </w:r>
      <w:r>
        <w:rPr>
          <w:rFonts w:hint="eastAsia" w:eastAsia="仿宋"/>
          <w:sz w:val="32"/>
          <w:szCs w:val="32"/>
        </w:rPr>
        <w:t>部门职责进行分类设定，主要有</w:t>
      </w:r>
      <w:r>
        <w:rPr>
          <w:rFonts w:hint="eastAsia" w:eastAsia="仿宋"/>
          <w:sz w:val="32"/>
          <w:szCs w:val="32"/>
          <w:lang w:val="en-US" w:eastAsia="zh-CN"/>
        </w:rPr>
        <w:t>全县政法队伍建设、维护稳定工作、全县社会治安综合治理工作防范和处理邪教工作</w:t>
      </w:r>
      <w:r>
        <w:rPr>
          <w:rFonts w:hint="eastAsia" w:eastAsia="仿宋"/>
          <w:sz w:val="32"/>
          <w:szCs w:val="32"/>
        </w:rPr>
        <w:t>等</w:t>
      </w:r>
      <w:r>
        <w:rPr>
          <w:rFonts w:hint="eastAsia" w:eastAsia="仿宋"/>
          <w:sz w:val="32"/>
          <w:szCs w:val="32"/>
          <w:lang w:val="en-US" w:eastAsia="zh-CN"/>
        </w:rPr>
        <w:t>四</w:t>
      </w:r>
      <w:r>
        <w:rPr>
          <w:rFonts w:hint="eastAsia" w:eastAsia="仿宋"/>
          <w:sz w:val="32"/>
          <w:szCs w:val="32"/>
        </w:rPr>
        <w:t>个方面分别设定了绩效目标。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  <w:lang w:val="en-US" w:eastAsia="zh-CN"/>
        </w:rPr>
        <w:t>绩效目标实现情况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项目按照规定程序设立，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符合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党委政府决策和部门年度工作计划，与项目实施单位职责密切相关。资金及时足额到位，未见截留、挤占、挪用、虚列支出等情况。</w:t>
      </w:r>
      <w:r>
        <w:rPr>
          <w:rFonts w:hint="eastAsia" w:eastAsia="仿宋"/>
          <w:sz w:val="32"/>
          <w:szCs w:val="32"/>
          <w:lang w:val="en-US" w:eastAsia="zh-CN"/>
        </w:rPr>
        <w:t>2021年本单位共计20个项目，资金2371.53万元。专项资金完成预算支出绩效目标的99.4%。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项目实施符合工作计划，符合绩效目标预期。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目标设定质量情况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本单位20个项目绩效自评为19个优1个差，通过项目开展，在产出指标、效益指标和满意度指标方面较好实现既定目标，项目支出绩效评价符合规定。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四、</w:t>
      </w:r>
      <w:r>
        <w:rPr>
          <w:rFonts w:eastAsia="黑体"/>
          <w:sz w:val="32"/>
          <w:szCs w:val="32"/>
        </w:rPr>
        <w:t>综合评价结论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我单位在自评中评价为优的项目个数为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个，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19个项目评价为“优”1个</w:t>
      </w:r>
      <w:r>
        <w:rPr>
          <w:rFonts w:hint="eastAsia" w:ascii="仿宋_GB2312" w:eastAsia="仿宋_GB2312"/>
          <w:sz w:val="32"/>
          <w:szCs w:val="32"/>
        </w:rPr>
        <w:t>“差”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无评价为“良”和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的项目。所设置的评价公式如下：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"/>
          <w:sz w:val="32"/>
          <w:szCs w:val="32"/>
          <w:highlight w:val="yellow"/>
        </w:rPr>
      </w:pPr>
      <w:r>
        <w:rPr>
          <w:rFonts w:eastAsia="仿宋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127000</wp:posOffset>
                </wp:positionV>
                <wp:extent cx="3068955" cy="88392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88391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32"/>
                                <w:szCs w:val="32"/>
                              </w:rPr>
                              <w:t>评价等级为“优”的项目数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32"/>
                                <w:szCs w:val="32"/>
                              </w:rPr>
                              <w:t>评价项目总数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55pt;margin-top:10pt;height:69.6pt;width:241.65pt;z-index:251654144;mso-width-relative:page;mso-height-relative:page;" filled="f" stroked="f" coordsize="21600,21600" o:gfxdata="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H4zRtgAAAAKAQAADwAAAAAAAAABACAAAAAiAAAAZHJzL2Rvd25yZXYueG1sUEsB&#10;AhQAFAAAAAgAh07iQDYggtr1AQAAxAMAAA4AAAAAAAAAAQAgAAAAJwEAAGRycy9lMm9Eb2MueG1s&#10;UEsFBgAAAAAGAAYAWQEAAI4FAAAAAA=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eastAsia="仿宋"/>
                          <w:sz w:val="32"/>
                          <w:szCs w:val="32"/>
                        </w:rPr>
                        <w:t>评价等级为“优”的项目数</w:t>
                      </w:r>
                    </w:p>
                    <w:p>
                      <w:pPr>
                        <w:jc w:val="center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eastAsia="仿宋"/>
                          <w:sz w:val="32"/>
                          <w:szCs w:val="32"/>
                        </w:rPr>
                        <w:t>评价项目总数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200025</wp:posOffset>
                </wp:positionV>
                <wp:extent cx="27717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4pt;margin-top:15.75pt;height:0pt;width:218.25pt;z-index:251655168;mso-width-relative:page;mso-height-relative:page;" filled="f" stroked="t" coordsize="21600,21600" o:gfxdata="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ofEyg2AAAAAkBAAAPAAAAAAAAAAEAIAAAACIA&#10;AABkcnMvZG93bnJldi54bWxQSwECFAAUAAAACACHTuJAc93+pgkCAADmAwAADgAAAAAAAAABACAA&#10;AAAnAQAAZHJzL2Uyb0RvYy54bWxQSwUGAAAAAAYABgBZAQAAogUAAAAA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/>
          <w:sz w:val="32"/>
          <w:szCs w:val="32"/>
        </w:rPr>
        <w:t>评优率=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"/>
          <w:sz w:val="32"/>
          <w:szCs w:val="32"/>
          <w:highlight w:val="yellow"/>
        </w:rPr>
      </w:pPr>
      <w:r>
        <w:rPr>
          <w:rFonts w:eastAsia="仿宋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93345</wp:posOffset>
                </wp:positionV>
                <wp:extent cx="3075940" cy="112776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32"/>
                                <w:szCs w:val="32"/>
                              </w:rPr>
                              <w:t>评价等级为“良”的项目数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32"/>
                                <w:szCs w:val="32"/>
                              </w:rPr>
                              <w:t>评价项目总数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5pt;margin-top:7.35pt;height:88.8pt;width:242.2pt;z-index:251656192;mso-width-relative:page;mso-height-relative:page;" filled="f" stroked="f" coordsize="21600,21600" o:gfxdata="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BBemmfbAAAACgEAAA8AAAAAAAAAAQAgAAAAIgAAAGRycy9kb3ducmV2&#10;LnhtbFBLAQIUABQAAAAIAIdO4kC7IsQohwEAAPQC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eastAsia="仿宋"/>
                          <w:sz w:val="32"/>
                          <w:szCs w:val="32"/>
                        </w:rPr>
                        <w:t>评价等级为“良”的项目数</w:t>
                      </w:r>
                    </w:p>
                    <w:p>
                      <w:pPr>
                        <w:jc w:val="center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eastAsia="仿宋"/>
                          <w:sz w:val="32"/>
                          <w:szCs w:val="32"/>
                        </w:rPr>
                        <w:t>评价项目总数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182245</wp:posOffset>
                </wp:positionV>
                <wp:extent cx="277177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5pt;margin-top:14.35pt;height:0pt;width:218.25pt;z-index:251657216;mso-width-relative:page;mso-height-relative:page;" filled="f" stroked="t" coordsize="21600,21600" o:gfxdata="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oTpXjYAAAACQEAAA8AAAAAAAAAAQAgAAAAIgAA&#10;AGRycy9kb3ducmV2LnhtbFBLAQIUABQAAAAIAIdO4kAAiXhPCAIAAOYDAAAOAAAAAAAAAAEAIAAA&#10;ACc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/>
          <w:sz w:val="32"/>
          <w:szCs w:val="32"/>
        </w:rPr>
        <w:t>评良率=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248285</wp:posOffset>
                </wp:positionV>
                <wp:extent cx="277177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1pt;margin-top:19.55pt;height:0pt;width:218.25pt;z-index:251658240;mso-width-relative:page;mso-height-relative:page;" filled="f" stroked="t" coordsize="21600,21600" o:gfxdata="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UVzStgAAAAJAQAADwAAAAAAAAABACAAAAAi&#10;AAAAZHJzL2Rvd25yZXYueG1sUEsBAhQAFAAAAAgAh07iQIyPzEUKAgAA6AMAAA4AAAAAAAAAAQAg&#10;AAAAJwEAAGRycy9lMm9Eb2MueG1sUEsFBgAAAAAGAAYAWQEAAKMFAAAAAA==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-193675</wp:posOffset>
                </wp:positionV>
                <wp:extent cx="3068955" cy="9144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32"/>
                                <w:szCs w:val="32"/>
                              </w:rPr>
                              <w:t>评价等级为“中”的项目数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32"/>
                                <w:szCs w:val="32"/>
                              </w:rPr>
                              <w:t>评价项目总数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pt;margin-top:-15.25pt;height:72pt;width:241.65pt;z-index:251659264;mso-width-relative:page;mso-height-relative:page;" filled="f" stroked="f" coordsize="21600,21600" o:gfxdata="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HHrqWdwAAAALAQAADwAAAAAAAAABACAAAAAiAAAAZHJzL2Rvd25yZXYu&#10;eG1sUEsBAhQAFAAAAAgAh07iQHEaA4CFAQAA8wIAAA4AAAAAAAAAAQAgAAAAKw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eastAsia="仿宋"/>
                          <w:sz w:val="32"/>
                          <w:szCs w:val="32"/>
                        </w:rPr>
                        <w:t>评价等级为“中”的项目数</w:t>
                      </w:r>
                    </w:p>
                    <w:p>
                      <w:pPr>
                        <w:jc w:val="center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eastAsia="仿宋"/>
                          <w:sz w:val="32"/>
                          <w:szCs w:val="32"/>
                        </w:rPr>
                        <w:t>评价项目总数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"/>
          <w:sz w:val="32"/>
          <w:szCs w:val="32"/>
        </w:rPr>
        <w:t>评中率=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174625</wp:posOffset>
                </wp:positionV>
                <wp:extent cx="3068955" cy="88392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8839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32"/>
                                <w:szCs w:val="32"/>
                              </w:rPr>
                              <w:t>评价等级为“差”的项目数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eastAsia="仿宋"/>
                                <w:sz w:val="32"/>
                                <w:szCs w:val="32"/>
                              </w:rPr>
                              <w:t>评价项目总数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pt;margin-top:13.75pt;height:69.6pt;width:241.65pt;z-index:251660288;mso-width-relative:page;mso-height-relative:page;" filled="f" stroked="f" coordsize="21600,21600" o:gfxdata="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yAbU2gAAAAoBAAAPAAAAAAAAAAEAIAAAACIAAABkcnMvZG93bnJldi54&#10;bWxQSwECFAAUAAAACACHTuJA7+V0WfgBAADGAwAADgAAAAAAAAABACAAAAApAQAAZHJzL2Uyb0Rv&#10;Yy54bWxQSwUGAAAAAAYABgBZAQAAkwUAAAAA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eastAsia="仿宋"/>
                          <w:sz w:val="32"/>
                          <w:szCs w:val="32"/>
                        </w:rPr>
                        <w:t>评价等级为“差”的项目数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" w:eastAsia="仿宋"/>
                          <w:sz w:val="32"/>
                          <w:szCs w:val="32"/>
                        </w:rPr>
                        <w:t>评价项目总数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247650</wp:posOffset>
                </wp:positionV>
                <wp:extent cx="277177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9pt;margin-top:19.5pt;height:0pt;width:218.25pt;z-index:251661312;mso-width-relative:page;mso-height-relative:page;" filled="f" stroked="t" coordsize="21600,21600" o:gfxdata="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Gx2KNkAAAAJAQAADwAAAAAAAAABACAAAAAi&#10;AAAAZHJzL2Rvd25yZXYueG1sUEsBAhQAFAAAAAgAh07iQOE6pLYJAgAA6AMAAA4AAAAAAAAAAQAg&#10;AAAAKAEAAGRycy9lMm9Eb2MueG1sUEsFBgAAAAAGAAYAWQEAAKMFAAAAAA==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/>
          <w:sz w:val="32"/>
          <w:szCs w:val="32"/>
        </w:rPr>
        <w:t xml:space="preserve">评差率=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我单位参加评价的项目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</w:rPr>
        <w:t>个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  <w:lang w:val="en-US" w:eastAsia="zh-CN"/>
        </w:rPr>
        <w:t>19个项目</w:t>
      </w:r>
      <w:r>
        <w:rPr>
          <w:rFonts w:hint="eastAsia" w:eastAsia="仿宋"/>
          <w:sz w:val="32"/>
          <w:szCs w:val="32"/>
        </w:rPr>
        <w:t>评价为“优”，按照公式，我单位项目评优率为</w:t>
      </w:r>
      <w:r>
        <w:rPr>
          <w:rFonts w:hint="eastAsia" w:eastAsia="仿宋"/>
          <w:sz w:val="32"/>
          <w:szCs w:val="32"/>
          <w:lang w:val="en-US" w:eastAsia="zh-CN"/>
        </w:rPr>
        <w:t>95</w:t>
      </w:r>
      <w:r>
        <w:rPr>
          <w:rFonts w:hint="eastAsia" w:eastAsia="仿宋"/>
          <w:sz w:val="32"/>
          <w:szCs w:val="32"/>
        </w:rPr>
        <w:t>%，评良率及评中率</w:t>
      </w:r>
      <w:r>
        <w:rPr>
          <w:rFonts w:hint="eastAsia" w:eastAsia="仿宋"/>
          <w:sz w:val="32"/>
          <w:szCs w:val="32"/>
          <w:lang w:val="en-US" w:eastAsia="zh-CN"/>
        </w:rPr>
        <w:t>为0，</w:t>
      </w:r>
      <w:r>
        <w:rPr>
          <w:rFonts w:hint="eastAsia" w:eastAsia="仿宋"/>
          <w:sz w:val="32"/>
          <w:szCs w:val="32"/>
        </w:rPr>
        <w:t>平差率均为</w:t>
      </w:r>
      <w:r>
        <w:rPr>
          <w:rFonts w:hint="eastAsia" w:eastAsia="仿宋"/>
          <w:sz w:val="32"/>
          <w:szCs w:val="32"/>
          <w:lang w:val="en-US" w:eastAsia="zh-CN"/>
        </w:rPr>
        <w:t>5</w:t>
      </w:r>
      <w:r>
        <w:rPr>
          <w:rFonts w:hint="eastAsia" w:eastAsia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整</w:t>
      </w:r>
      <w:r>
        <w:rPr>
          <w:rFonts w:eastAsia="黑体"/>
          <w:sz w:val="32"/>
          <w:szCs w:val="32"/>
        </w:rPr>
        <w:t>改措施</w:t>
      </w:r>
      <w:r>
        <w:rPr>
          <w:rFonts w:hint="eastAsia" w:eastAsia="黑体"/>
          <w:sz w:val="32"/>
          <w:szCs w:val="32"/>
          <w:lang w:val="en-US" w:eastAsia="zh-CN"/>
        </w:rPr>
        <w:t>及结果应用</w:t>
      </w:r>
      <w:r>
        <w:rPr>
          <w:rFonts w:eastAsia="黑体"/>
          <w:sz w:val="32"/>
          <w:szCs w:val="32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 w:eastAsia="仿宋" w:cs="Times New Roman"/>
          <w:sz w:val="32"/>
          <w:szCs w:val="32"/>
          <w:lang w:val="en-US" w:eastAsia="zh-CN"/>
        </w:rPr>
        <w:t>我单位今后继续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改进管理措施，完善管理办法，规范流程，把制度要求落实到实际工作中，做好自身工作，加强筹划和指导，履行监督职能，积极发挥组织协调和督促的作用。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此次项目的评价结果反馈给财政，用以说明此项目资金的使用情况，完成年度目标情况，产生的社会效益情况，财政用以考察支出进度及资金使用的合理情况等，以促进此项目资金的下一年度预算合理足额安排。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2021年12月29日</w:t>
      </w:r>
    </w:p>
    <w:p/>
    <w:sectPr>
      <w:pgSz w:w="11906" w:h="16838"/>
      <w:pgMar w:top="1985" w:right="1531" w:bottom="1985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F93C"/>
    <w:multiLevelType w:val="singleLevel"/>
    <w:tmpl w:val="4E57F93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730F"/>
    <w:rsid w:val="024148F8"/>
    <w:rsid w:val="0B8F097B"/>
    <w:rsid w:val="104F1D6A"/>
    <w:rsid w:val="122A64C1"/>
    <w:rsid w:val="127F2363"/>
    <w:rsid w:val="143E465E"/>
    <w:rsid w:val="214B6CCB"/>
    <w:rsid w:val="21D41152"/>
    <w:rsid w:val="228B76C3"/>
    <w:rsid w:val="28A91753"/>
    <w:rsid w:val="2E993527"/>
    <w:rsid w:val="43A5178B"/>
    <w:rsid w:val="47917EA5"/>
    <w:rsid w:val="48E26B9A"/>
    <w:rsid w:val="5699634F"/>
    <w:rsid w:val="649D3401"/>
    <w:rsid w:val="6CC9578C"/>
    <w:rsid w:val="6EB5440F"/>
    <w:rsid w:val="71EB6174"/>
    <w:rsid w:val="75662FA9"/>
    <w:rsid w:val="7D0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2020-06-01T03:40:00Z</dcterms:created>
  <dc:creator>lenovo</dc:creator>
  <cp:lastModifiedBy>HP</cp:lastModifiedBy>
  <dcterms:modified xsi:type="dcterms:W3CDTF">2021-12-29T02:46:56Z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